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87ADC" w14:textId="77777777" w:rsidR="00373BE2" w:rsidRDefault="00660528">
      <w:pPr>
        <w:pStyle w:val="Title"/>
        <w:spacing w:after="160"/>
      </w:pPr>
      <w:r>
        <w:t>DMin Report Planning Guide</w:t>
      </w:r>
    </w:p>
    <w:p w14:paraId="627E0C62" w14:textId="77777777" w:rsidR="00373BE2" w:rsidRDefault="00660528">
      <w:pPr>
        <w:pStyle w:val="Subtitle"/>
        <w:spacing w:after="240"/>
      </w:pPr>
      <w:r>
        <w:t>Adapt the inquiry to your program requirements</w:t>
      </w:r>
    </w:p>
    <w:p w14:paraId="18ADE9DD" w14:textId="77777777" w:rsidR="00373BE2" w:rsidRDefault="00660528">
      <w:pPr>
        <w:pStyle w:val="Heading2"/>
      </w:pPr>
      <w:r>
        <w:t>Let the requirements give the argument its form</w:t>
      </w:r>
    </w:p>
    <w:p w14:paraId="62F18A17" w14:textId="77777777" w:rsidR="00373BE2" w:rsidRDefault="00660528">
      <w:r>
        <w:t>A reader should be able to follow the inquiry even when a program’s required headings differ from this book’s. Begin with the actual requirements and their assessment criteria. Record the document title, version or date, relevant sections, and the person authorized to clarify an ambiguity. A former student’s dissertation can illustrate possibilities without establishing what your program now requires.</w:t>
      </w:r>
    </w:p>
    <w:p w14:paraId="674B8725" w14:textId="77777777" w:rsidR="00373BE2" w:rsidRDefault="00660528">
      <w:r>
        <w:t>The five writing functions below are an AWI writing aid, not a universal five-chapter rule. Blythe’s account of DMin work as practical theology supports attention to the relationship between theology, research and practice across different project forms (2021, 8). The institution still determines the acceptable form of its own project.</w:t>
      </w:r>
    </w:p>
    <w:p w14:paraId="578C7AC5" w14:textId="77777777" w:rsidR="00373BE2" w:rsidRDefault="00660528">
      <w:r>
        <w:t>These functions also differ from AWI’s five research stages. The stages organize inquiry; the functions organize the reader’s understanding of its argument. Several stages may inform a single findings or discussion chapter, and one stage may need explanation in several places. The practical work within Field Testing belongs in that account where it supports the argument. Neither the research stages nor the field attempt dictates the institution’s chapter structure.</w:t>
      </w:r>
    </w:p>
    <w:p w14:paraId="434EB9B9" w14:textId="77777777" w:rsidR="00373BE2" w:rsidRDefault="00660528">
      <w:pPr>
        <w:pStyle w:val="Heading2"/>
      </w:pPr>
      <w:r>
        <w:t>A requirements entry to complete</w:t>
      </w:r>
    </w:p>
    <w:p w14:paraId="3E37C619" w14:textId="77777777" w:rsidR="00373BE2" w:rsidRDefault="00660528">
      <w:r>
        <w:rPr>
          <w:b/>
        </w:rPr>
        <w:t>Program and receiving institution.</w:t>
      </w:r>
      <w:r>
        <w:t xml:space="preserve"> [Enter the actual program and institution.]</w:t>
      </w:r>
    </w:p>
    <w:p w14:paraId="7CB78964" w14:textId="77777777" w:rsidR="00373BE2" w:rsidRDefault="00660528">
      <w:r>
        <w:rPr>
          <w:b/>
        </w:rPr>
        <w:t>Governing documents.</w:t>
      </w:r>
      <w:r>
        <w:t xml:space="preserve"> [Enter current titles, versions, URLs or file locations, relevant sections, and date checked.]</w:t>
      </w:r>
    </w:p>
    <w:p w14:paraId="281EB924" w14:textId="77777777" w:rsidR="00373BE2" w:rsidRDefault="00660528">
      <w:r>
        <w:rPr>
          <w:b/>
        </w:rPr>
        <w:t>Required structure and assessment.</w:t>
      </w:r>
      <w:r>
        <w:t xml:space="preserve"> [Enter headings, length and criteria; distinguish required elements from examples.]</w:t>
      </w:r>
    </w:p>
    <w:p w14:paraId="3DB15EA3" w14:textId="77777777" w:rsidR="00373BE2" w:rsidRDefault="00660528">
      <w:r>
        <w:rPr>
          <w:b/>
        </w:rPr>
        <w:t>Research and submission arrangements.</w:t>
      </w:r>
      <w:r>
        <w:t xml:space="preserve"> [Record relevant review, citation, AI, supporting-material, access, repository and examination requirements.]</w:t>
      </w:r>
    </w:p>
    <w:p w14:paraId="588874C5" w14:textId="77777777" w:rsidR="00373BE2" w:rsidRDefault="00660528">
      <w:r>
        <w:rPr>
          <w:b/>
        </w:rPr>
        <w:t>Unresolved point and authorized answer.</w:t>
      </w:r>
      <w:r>
        <w:t xml:space="preserve"> [State the question, who can answer it, response and date; update the plan accordingly.]</w:t>
      </w:r>
    </w:p>
    <w:p w14:paraId="05F49671" w14:textId="77777777" w:rsidR="00373BE2" w:rsidRDefault="00660528">
      <w:pPr>
        <w:pStyle w:val="Heading2"/>
      </w:pPr>
      <w:r>
        <w:t>Five writing functions and their connections</w:t>
      </w:r>
    </w:p>
    <w:p w14:paraId="133C1D9B" w14:textId="77777777" w:rsidR="00373BE2" w:rsidRDefault="00660528">
      <w:r>
        <w:rPr>
          <w:b/>
        </w:rPr>
        <w:t>Context, problem and question.</w:t>
      </w:r>
      <w:r>
        <w:t xml:space="preserve"> Establish why the concern warrants inquiry here. Use the Inquiry Register and relevant contextual claims in the Evidence and Interpretation Map. Explain how the question developed and why the final scope is defensible. The transition should tell the reader what understanding the inquiry needs from scholarship and theology.</w:t>
      </w:r>
    </w:p>
    <w:p w14:paraId="044891C3" w14:textId="77777777" w:rsidR="00373BE2" w:rsidRDefault="00660528">
      <w:r>
        <w:rPr>
          <w:b/>
        </w:rPr>
        <w:t>Literature, theology and research position.</w:t>
      </w:r>
      <w:r>
        <w:t xml:space="preserve"> Show the conversation the study enters and the commitments through which it understands practice. Use the Inquiry Register, sources actually read and theological reasoning in the Evidence and Interpretation Map. Explain agreements and tensions rather than arranging a sequence of summaries. The transition should show why the proposed design can address the uncertainty identified.</w:t>
      </w:r>
    </w:p>
    <w:p w14:paraId="6F0CA022" w14:textId="77777777" w:rsidR="00373BE2" w:rsidRDefault="00660528">
      <w:r>
        <w:rPr>
          <w:b/>
        </w:rPr>
        <w:t>Design and methods.</w:t>
      </w:r>
      <w:r>
        <w:t xml:space="preserve"> Explain what was done, why it fit the question and how decisions changed. Begin with the Inquiry Register, link source and AI arrangements through the Sources and AI Register, and follow the practical sequence in the Ministry Experiment Journal. Identify substantive augmentation and its examination in each stage undertaken. Distinguish the original plan from later amendments. The transition should identify the material and analytic work on which the findings rest.</w:t>
      </w:r>
    </w:p>
    <w:p w14:paraId="52681E54" w14:textId="77777777" w:rsidR="00373BE2" w:rsidRDefault="00660528">
      <w:r>
        <w:rPr>
          <w:b/>
        </w:rPr>
        <w:lastRenderedPageBreak/>
        <w:t>Findings and account of the inquiry.</w:t>
      </w:r>
      <w:r>
        <w:t xml:space="preserve"> Present the important claims with grounds that allow assessment. Use the Evidence and Interpretation Map, with practical entries in the Ministry Experiment Journal and source and AI provenance in the Sources and AI Register. Link reflection where a claim about learning is made. Let contrary material change the formulation where necessary. The transition should carry the reader from what the inquiry supports into what it contributes.</w:t>
      </w:r>
    </w:p>
    <w:p w14:paraId="7F605E98" w14:textId="77777777" w:rsidR="00373BE2" w:rsidRDefault="00660528">
      <w:r>
        <w:rPr>
          <w:b/>
        </w:rPr>
        <w:t>Evaluation and contribution.</w:t>
      </w:r>
      <w:r>
        <w:t xml:space="preserve"> Relate findings to scholarship, theological reasoning, learning and next decisions. The Research Argument Map links these claims and their grounds to the written contribution. Specify its scale and the conditions another setting would need to consider. Return to the opening question without enlarging the conclusion beyond what the design could examine.</w:t>
      </w:r>
    </w:p>
    <w:p w14:paraId="2F19E482" w14:textId="77777777" w:rsidR="00373BE2" w:rsidRDefault="00660528">
      <w:r>
        <w:t>These writing functions may be distributed across more or fewer chapters. Where a program requires a separate biblical or theological chapter, preserve the connection between that chapter’s argument and the actual decisions made elsewhere. O’Brien and colleagues’ reporting standards can help check whether a qualitative account gives readers necessary information; they do not determine the local dissertation structure or make a report rigorous by checklist completion (2014).</w:t>
      </w:r>
    </w:p>
    <w:p w14:paraId="0F60094D" w14:textId="77777777" w:rsidR="00373BE2" w:rsidRDefault="00660528">
      <w:pPr>
        <w:pStyle w:val="Heading2"/>
      </w:pPr>
      <w:r>
        <w:t>Map the writing functions to the required document</w:t>
      </w:r>
    </w:p>
    <w:p w14:paraId="725179AE" w14:textId="77777777" w:rsidR="00373BE2" w:rsidRDefault="00660528">
      <w:r>
        <w:t>Complete one entry for each required section. Repeat or expand the fields rather than squeezing an entire project into a small table.</w:t>
      </w:r>
    </w:p>
    <w:p w14:paraId="3AB5F695" w14:textId="77777777" w:rsidR="00373BE2" w:rsidRDefault="00660528">
      <w:r>
        <w:rPr>
          <w:b/>
        </w:rPr>
        <w:t>Required heading and criterion.</w:t>
      </w:r>
      <w:r>
        <w:t xml:space="preserve"> [Use the program’s wording and source locator.]</w:t>
      </w:r>
    </w:p>
    <w:p w14:paraId="71C17B08" w14:textId="77777777" w:rsidR="00373BE2" w:rsidRDefault="00660528">
      <w:r>
        <w:rPr>
          <w:b/>
        </w:rPr>
        <w:t>The work this section does.</w:t>
      </w:r>
      <w:r>
        <w:t xml:space="preserve"> [Write one sentence explaining its contribution to the whole argument.]</w:t>
      </w:r>
    </w:p>
    <w:p w14:paraId="2699D7FF" w14:textId="77777777" w:rsidR="00373BE2" w:rsidRDefault="00660528">
      <w:r>
        <w:rPr>
          <w:b/>
        </w:rPr>
        <w:t>Claim and supporting documents.</w:t>
      </w:r>
      <w:r>
        <w:t xml:space="preserve"> [Identify the main claim, its Evidence and Interpretation Map entry, question version and relevant source, AI, practical and reflective links.]</w:t>
      </w:r>
    </w:p>
    <w:p w14:paraId="77000F4D" w14:textId="77777777" w:rsidR="00373BE2" w:rsidRDefault="00660528">
      <w:r>
        <w:rPr>
          <w:b/>
        </w:rPr>
        <w:t>Scholarly and theological conversation.</w:t>
      </w:r>
      <w:r>
        <w:t xml:space="preserve"> [Identify the sources and reasoning actually needed here.]</w:t>
      </w:r>
    </w:p>
    <w:p w14:paraId="5857E99E" w14:textId="77777777" w:rsidR="00373BE2" w:rsidRDefault="00660528">
      <w:r>
        <w:rPr>
          <w:b/>
        </w:rPr>
        <w:t>Connection to the next section.</w:t>
      </w:r>
      <w:r>
        <w:t xml:space="preserve"> [State what the reader can now understand and what question follows.]</w:t>
      </w:r>
    </w:p>
    <w:p w14:paraId="3FAA3AEC" w14:textId="77777777" w:rsidR="00373BE2" w:rsidRDefault="00660528">
      <w:r>
        <w:rPr>
          <w:b/>
        </w:rPr>
        <w:t>Evidence or permission still needed.</w:t>
      </w:r>
      <w:r>
        <w:t xml:space="preserve"> [Record the unresolved item and its effect on drafting or submission.]</w:t>
      </w:r>
    </w:p>
    <w:p w14:paraId="00A3587D" w14:textId="77777777" w:rsidR="00373BE2" w:rsidRDefault="00660528">
      <w:r>
        <w:t>If two entries perform the same work, consider combining them or assigning a clearer purpose to one. If a conclusion has no supporting entry, the gap may require a narrower claim rather than another section of prose.</w:t>
      </w:r>
    </w:p>
    <w:p w14:paraId="15866457" w14:textId="77777777" w:rsidR="00373BE2" w:rsidRDefault="00660528">
      <w:pPr>
        <w:pStyle w:val="Heading2"/>
      </w:pPr>
      <w:r>
        <w:t>Write and test a short synopsis</w:t>
      </w:r>
    </w:p>
    <w:p w14:paraId="5FC42889" w14:textId="77777777" w:rsidR="00373BE2" w:rsidRDefault="00660528">
      <w:r>
        <w:t>Before polishing every chapter, draft a connected account of the concern, question, design, principal findings, theological interpretation, contribution and limits. Keep it short enough to compare its beginning and ending on the same sitting. Check each substantive statement against the Research Argument Map.</w:t>
      </w:r>
    </w:p>
    <w:p w14:paraId="0353E754" w14:textId="77777777" w:rsidR="00373BE2" w:rsidRDefault="00660528">
      <w:r>
        <w:t>In the fictional case, the synopsis must preserve practical access, M03’s reported influence, M04’s experienced pressure and M05’s missed consultation. It must also retain the unresolved wider significance for belonging. Removing one difficult finding to improve the flow changes the argument. A clearer account explains why the findings differ.</w:t>
      </w:r>
    </w:p>
    <w:p w14:paraId="44DE2B53" w14:textId="77777777" w:rsidR="00373BE2" w:rsidRDefault="00660528">
      <w:r>
        <w:t>Compare the synopsis with the abstract and conclusion after every consequential revision. Do they use the same question version, participants, period and certainty? Does an implication become a proven outcome in the shorter text? Shortening should preserve the claim’s boundaries.</w:t>
      </w:r>
    </w:p>
    <w:p w14:paraId="1A30F6A2" w14:textId="77777777" w:rsidR="00373BE2" w:rsidRDefault="00660528">
      <w:pPr>
        <w:pStyle w:val="Heading2"/>
      </w:pPr>
      <w:r>
        <w:t>Prepare for examination through the records</w:t>
      </w:r>
    </w:p>
    <w:p w14:paraId="63726969" w14:textId="77777777" w:rsidR="00373BE2" w:rsidRDefault="00660528">
      <w:r>
        <w:t xml:space="preserve">Practise with questions that reach the inquiry’s actual vulnerabilities: Why was this design adequate for this question? What did the contrary account change? How did your authority affect participation? Why does this </w:t>
      </w:r>
      <w:r>
        <w:lastRenderedPageBreak/>
        <w:t>theological interpretation follow? What did AI help you understand or develop, and how did you examine its contribution? What would another setting need to examine before using this insight?</w:t>
      </w:r>
    </w:p>
    <w:p w14:paraId="3742C2B4" w14:textId="77777777" w:rsidR="00373BE2" w:rsidRDefault="00660528">
      <w:r>
        <w:t>For each answer, name the relevant source and explain the reasoning before directing the reader to a location. A file reference alone is not an argument. Be prepared to distinguish a justified limitation from an unresolved deficiency that changes what you may claim.</w:t>
      </w:r>
    </w:p>
    <w:p w14:paraId="173439E7" w14:textId="77777777" w:rsidR="00373BE2" w:rsidRDefault="00660528">
      <w:r>
        <w:t>Sensing’s discussion of professional-doctoral rigor helps keep attention on the contribution to understanding and practice (2024). The candidate should be able to explain what became better understood, including when a proposed improvement did not work as intended. His article is scholarly guidance; use the program’s current documents for its actual requirements.</w:t>
      </w:r>
    </w:p>
    <w:p w14:paraId="499E0379" w14:textId="77777777" w:rsidR="00373BE2" w:rsidRDefault="00660528">
      <w:pPr>
        <w:pStyle w:val="Heading2"/>
      </w:pPr>
      <w:r>
        <w:t>Complete the submission and access check</w:t>
      </w:r>
    </w:p>
    <w:p w14:paraId="4DF80768" w14:textId="77777777" w:rsidR="00373BE2" w:rsidRDefault="00660528">
      <w:r>
        <w:t>Prepare the version intended for each destination: examination, institutional archive, public repository or another agreed use. Check the permission for that destination, the identifiability of quotations and case details, and the relationship between accessible evidence and the claims retained. A version suitable for an examiner is not automatically suitable for public circulation.</w:t>
      </w:r>
    </w:p>
    <w:p w14:paraId="3F410170" w14:textId="77777777" w:rsidR="00373BE2" w:rsidRDefault="00660528">
      <w:r>
        <w:t>Record the final document version, date, contents of the submission, restricted supporting material, access arrangements and unresolved issues in the Research Argument Map. If necessary grounds are missing or inaccessible, resolve the problem in consultation with the relevant responsible people. A polished reading copy is a useful stage in that work; submission requires the actual inquiry’s record and requirements to agree.</w:t>
      </w:r>
    </w:p>
    <w:sectPr w:rsidR="00373BE2"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BF50" w14:textId="77777777" w:rsidR="00B54E8A" w:rsidRDefault="00B54E8A">
      <w:pPr>
        <w:spacing w:after="0" w:line="240" w:lineRule="auto"/>
      </w:pPr>
      <w:r>
        <w:separator/>
      </w:r>
    </w:p>
  </w:endnote>
  <w:endnote w:type="continuationSeparator" w:id="0">
    <w:p w14:paraId="079FBC0F" w14:textId="77777777" w:rsidR="00B54E8A" w:rsidRDefault="00B5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DDB6F" w14:textId="77777777" w:rsidR="009A6580" w:rsidRDefault="009A65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1283B" w14:textId="77777777" w:rsidR="00373BE2" w:rsidRDefault="00660528">
    <w:pPr>
      <w:pStyle w:val="Footer"/>
    </w:pPr>
    <w:r>
      <w:rPr>
        <w:sz w:val="18"/>
      </w:rPr>
      <w:t xml:space="preserve">AWI Reader Companion  •  Edition 1  |  </w:t>
    </w:r>
    <w:r>
      <w:fldChar w:fldCharType="begin"/>
    </w:r>
    <w:r>
      <w:instrText>PAGE</w:instrText>
    </w:r>
    <w:r>
      <w:fldChar w:fldCharType="separate"/>
    </w:r>
    <w:r w:rsidR="009A6580">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EF016" w14:textId="77777777" w:rsidR="009A6580" w:rsidRDefault="009A65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5F6AE" w14:textId="77777777" w:rsidR="00B54E8A" w:rsidRDefault="00B54E8A">
      <w:pPr>
        <w:spacing w:after="0" w:line="240" w:lineRule="auto"/>
      </w:pPr>
      <w:r>
        <w:separator/>
      </w:r>
    </w:p>
  </w:footnote>
  <w:footnote w:type="continuationSeparator" w:id="0">
    <w:p w14:paraId="0DFC408D" w14:textId="77777777" w:rsidR="00B54E8A" w:rsidRDefault="00B54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24C44" w14:textId="77777777" w:rsidR="009A6580" w:rsidRDefault="009A65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E95AE" w14:textId="77777777" w:rsidR="009A6580" w:rsidRDefault="009A65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B6BCB" w14:textId="77777777" w:rsidR="009A6580" w:rsidRDefault="009A65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7470874">
    <w:abstractNumId w:val="8"/>
  </w:num>
  <w:num w:numId="2" w16cid:durableId="815686126">
    <w:abstractNumId w:val="6"/>
  </w:num>
  <w:num w:numId="3" w16cid:durableId="1110050378">
    <w:abstractNumId w:val="5"/>
  </w:num>
  <w:num w:numId="4" w16cid:durableId="662709198">
    <w:abstractNumId w:val="4"/>
  </w:num>
  <w:num w:numId="5" w16cid:durableId="780566246">
    <w:abstractNumId w:val="7"/>
  </w:num>
  <w:num w:numId="6" w16cid:durableId="1759057991">
    <w:abstractNumId w:val="3"/>
  </w:num>
  <w:num w:numId="7" w16cid:durableId="172770437">
    <w:abstractNumId w:val="2"/>
  </w:num>
  <w:num w:numId="8" w16cid:durableId="1133594176">
    <w:abstractNumId w:val="1"/>
  </w:num>
  <w:num w:numId="9" w16cid:durableId="199224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390"/>
    <w:rsid w:val="001B5470"/>
    <w:rsid w:val="0029639D"/>
    <w:rsid w:val="002D3877"/>
    <w:rsid w:val="00326F90"/>
    <w:rsid w:val="00373BE2"/>
    <w:rsid w:val="00660528"/>
    <w:rsid w:val="009A6580"/>
    <w:rsid w:val="00AA1D8D"/>
    <w:rsid w:val="00B47730"/>
    <w:rsid w:val="00B54E8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4F6C2"/>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1270</Words>
  <Characters>7320</Characters>
  <Application>Microsoft Office Word</Application>
  <DocSecurity>0</DocSecurity>
  <Lines>95</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DMin Report Planning Guide</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