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536A1" w14:textId="77777777" w:rsidR="00B17817" w:rsidRDefault="00C32BD5">
      <w:pPr>
        <w:pStyle w:val="Title"/>
        <w:spacing w:after="160"/>
      </w:pPr>
      <w:r>
        <w:t>Evidence and Interpretation Map</w:t>
      </w:r>
    </w:p>
    <w:p w14:paraId="2A5DA511" w14:textId="77777777" w:rsidR="00B17817" w:rsidRDefault="00C32BD5">
      <w:pPr>
        <w:pStyle w:val="Subtitle"/>
        <w:spacing w:after="240"/>
      </w:pPr>
      <w:r>
        <w:t>Editable working document  |  Companion to Appendix A</w:t>
      </w:r>
    </w:p>
    <w:p w14:paraId="65924A33" w14:textId="77777777" w:rsidR="00B17817" w:rsidRDefault="00C32BD5">
      <w:r>
        <w:t>Use this form with Appendix A. Replace the bracketed prompts with your own entries and expand the space as needed. Preserve earlier dated versions when a question or judgment changes. References to numbered sections refer to the book.</w:t>
      </w:r>
    </w:p>
    <w:p w14:paraId="38357C3E" w14:textId="77777777" w:rsidR="00B17817" w:rsidRDefault="00C32BD5">
      <w:pPr>
        <w:keepNext/>
      </w:pPr>
      <w:r>
        <w:rPr>
          <w:b/>
        </w:rPr>
        <w:t>Identity and corpus boundary.</w:t>
      </w:r>
      <w:r>
        <w:t xml:space="preserve"> State the record version, date, current question, what material is included, what is excluded, and why. Name any parts not yet read or unavailable. Three selected examples are not automatically the whole dataset.</w:t>
      </w:r>
    </w:p>
    <w:p w14:paraId="76EC17B5" w14:textId="77777777" w:rsidR="00B17817" w:rsidRDefault="00C32BD5">
      <w:pPr>
        <w:spacing w:after="260"/>
      </w:pPr>
      <w:r>
        <w:rPr>
          <w:i/>
        </w:rPr>
        <w:t>[Enter the question, corpus boundary and reading status.]</w:t>
      </w:r>
    </w:p>
    <w:p w14:paraId="5A567C01" w14:textId="77777777" w:rsidR="00B17817" w:rsidRDefault="00C32BD5">
      <w:pPr>
        <w:keepNext/>
      </w:pPr>
      <w:r>
        <w:rPr>
          <w:b/>
        </w:rPr>
        <w:t>Selected-source view.</w:t>
      </w:r>
      <w:r>
        <w:t xml:space="preserve"> Identify the sources included in this particular analysis by linking their inventory and preparation entries in the Sources and AI Register. Explain the selection and what remains outside this reading. Keep one authoritative source location and propagate corrections to the claims that use it.</w:t>
      </w:r>
    </w:p>
    <w:p w14:paraId="42E018F1" w14:textId="77777777" w:rsidR="00B17817" w:rsidRDefault="00C32BD5">
      <w:pPr>
        <w:spacing w:after="260"/>
      </w:pPr>
      <w:r>
        <w:rPr>
          <w:i/>
        </w:rPr>
        <w:t>[Included source links; selection grounds; exclusions; correction links.]</w:t>
      </w:r>
    </w:p>
    <w:p w14:paraId="2A29A294" w14:textId="77777777" w:rsidR="00B17817" w:rsidRDefault="00C32BD5">
      <w:pPr>
        <w:keepNext/>
      </w:pPr>
      <w:r>
        <w:rPr>
          <w:b/>
        </w:rPr>
        <w:t>Provisional pattern entry.</w:t>
      </w:r>
      <w:r>
        <w:t xml:space="preserve"> Record a working label, the passages that prompted it, material that complicates it, and what remains undecided. Link the AI comparison and your examination in the Sources and AI Register, including source coverage and any proposed grouping you rejected. Note how you searched beyond the first attractive examples. A repeated word and an interpretive theme are different kinds of analytic result.</w:t>
      </w:r>
    </w:p>
    <w:p w14:paraId="1A4ED71E" w14:textId="77777777" w:rsidR="00B17817" w:rsidRDefault="00C32BD5">
      <w:pPr>
        <w:spacing w:after="260"/>
      </w:pPr>
      <w:r>
        <w:rPr>
          <w:i/>
        </w:rPr>
        <w:t>[Pattern label; source locators; contrary material; missing perspectives; next reading.]</w:t>
      </w:r>
    </w:p>
    <w:p w14:paraId="5D9F5B16" w14:textId="77777777" w:rsidR="00B17817" w:rsidRDefault="00C32BD5">
      <w:pPr>
        <w:pStyle w:val="Heading2"/>
        <w:pageBreakBefore/>
      </w:pPr>
      <w:r>
        <w:lastRenderedPageBreak/>
        <w:t>Claims and theological reasoning</w:t>
      </w:r>
    </w:p>
    <w:p w14:paraId="457635E1" w14:textId="77777777" w:rsidR="00B17817" w:rsidRDefault="00C32BD5">
      <w:pPr>
        <w:keepNext/>
      </w:pPr>
      <w:r>
        <w:rPr>
          <w:b/>
        </w:rPr>
        <w:t>Interpretive memo.</w:t>
      </w:r>
      <w:r>
        <w:t xml:space="preserve"> Explain the proposed relationship among accounts, context, alternatives, and the researcher’s part in reaching the reading. Where a surprise prompts a new explanation, preserve the earlier expectation, the detail it missed, competing readings, and what further material could distinguish them. Identify participant responses and their circumstances; agreement does not certify the whole analysis (Sections 6.3–6.5). Link the generated proposal, its examination and the resulting interpretation to the Sources and AI Register. Identify what the input already supplied and what the response developed.</w:t>
      </w:r>
    </w:p>
    <w:p w14:paraId="62FDDF3D" w14:textId="77777777" w:rsidR="00B17817" w:rsidRDefault="00C32BD5">
      <w:pPr>
        <w:spacing w:after="260"/>
      </w:pPr>
      <w:r>
        <w:rPr>
          <w:i/>
        </w:rPr>
        <w:t>[Interpretation and grounds; competing explanations; participant response; further evidence; decision and limits.]</w:t>
      </w:r>
    </w:p>
    <w:p w14:paraId="406A1395" w14:textId="77777777" w:rsidR="00B17817" w:rsidRDefault="00C32BD5">
      <w:pPr>
        <w:keepNext/>
      </w:pPr>
      <w:r>
        <w:rPr>
          <w:b/>
        </w:rPr>
        <w:t>Claim view.</w:t>
      </w:r>
      <w:r>
        <w:t xml:space="preserve"> This is a view within the Evidence and Interpretation Map. Give the claim ID, exact wording and version, and the question version in the Inquiry Register that it answers. State its scope; supporting and challenging source locators; the analytic reasoning; what is missing; and the current judgment. When using the four judgments from Chapter 8, distinguish supported within limits, supported with revision, not supported, and inconclusive. Preserve both original and revised wording. Separate an empirical finding from a theological judgment or a proposed action.</w:t>
      </w:r>
    </w:p>
    <w:p w14:paraId="407E0E99" w14:textId="77777777" w:rsidR="00B17817" w:rsidRDefault="00C32BD5">
      <w:pPr>
        <w:spacing w:after="260"/>
      </w:pPr>
      <w:r>
        <w:rPr>
          <w:i/>
        </w:rPr>
        <w:t>[Claim ID and version; Inquiry Register question version; scope; evidence; reasoning; judgment; original and revised wording where needed.]</w:t>
      </w:r>
    </w:p>
    <w:p w14:paraId="3F02EAC2" w14:textId="77777777" w:rsidR="00B17817" w:rsidRDefault="00C32BD5">
      <w:pPr>
        <w:keepNext/>
      </w:pPr>
      <w:r>
        <w:rPr>
          <w:b/>
        </w:rPr>
        <w:t>Theological reasoning entry.</w:t>
      </w:r>
      <w:r>
        <w:t xml:space="preserve"> Link the empirical claims to which this argument responds, preserving the difference between those claims and the theological judgment. Explain the candidate’s theological position, sources and contexts, and the reasoning relating them to the experience. Where useful, compare professed commitments, enacted practice, authoritative texts and scholarly arguments as in Section 9.1; these voices can overlap. Address alternatives and unresolved tensions, distinguishing what the material illuminates from the theological judgment defended. Preserve the AI-generated relation or alternative you examined, the sources used to assess it and the practical consequence, with the full exchange in the Sources and AI Register.</w:t>
      </w:r>
    </w:p>
    <w:p w14:paraId="6DF4F2E2" w14:textId="77777777" w:rsidR="00B17817" w:rsidRDefault="00C32BD5">
      <w:pPr>
        <w:spacing w:after="260"/>
      </w:pPr>
      <w:r>
        <w:rPr>
          <w:i/>
        </w:rPr>
        <w:t>[Empirical claim links; theological argument; source passages and locators; alternatives; responsibilities and limits.]</w:t>
      </w:r>
    </w:p>
    <w:p w14:paraId="6916C335" w14:textId="77777777" w:rsidR="00B17817" w:rsidRDefault="00C32BD5">
      <w:pPr>
        <w:keepNext/>
      </w:pPr>
      <w:r>
        <w:rPr>
          <w:b/>
        </w:rPr>
        <w:t>Handoff.</w:t>
      </w:r>
      <w:r>
        <w:t xml:space="preserve"> Explain whether the interpretation warrants a bounded action, further listening, a changed question or deferral. Link the decision in the Ministry Experiment Journal and any changed assumption in the Reflection and Learning Journal. State what the next step could illuminate and what it cannot establish.</w:t>
      </w:r>
    </w:p>
    <w:p w14:paraId="294BB2E1" w14:textId="77777777" w:rsidR="00B17817" w:rsidRDefault="00C32BD5">
      <w:pPr>
        <w:spacing w:after="260"/>
      </w:pPr>
      <w:r>
        <w:rPr>
          <w:i/>
        </w:rPr>
        <w:t>[Decision; reasons; record links; remaining limits.]</w:t>
      </w:r>
    </w:p>
    <w:sectPr w:rsidR="00B17817"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80" w:bottom="100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9537" w14:textId="77777777" w:rsidR="008B1DF7" w:rsidRDefault="008B1DF7">
      <w:pPr>
        <w:spacing w:after="0" w:line="240" w:lineRule="auto"/>
      </w:pPr>
      <w:r>
        <w:separator/>
      </w:r>
    </w:p>
  </w:endnote>
  <w:endnote w:type="continuationSeparator" w:id="0">
    <w:p w14:paraId="3F0C7657" w14:textId="77777777" w:rsidR="008B1DF7" w:rsidRDefault="008B1D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BA619" w14:textId="77777777" w:rsidR="00895CDA" w:rsidRDefault="00895C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3700E" w14:textId="77777777" w:rsidR="00B17817" w:rsidRDefault="00C32BD5">
    <w:pPr>
      <w:pStyle w:val="Footer"/>
    </w:pPr>
    <w:r>
      <w:rPr>
        <w:sz w:val="18"/>
      </w:rPr>
      <w:t xml:space="preserve">AWI Reader Companion  •  Edition 1  |  </w:t>
    </w:r>
    <w:r>
      <w:fldChar w:fldCharType="begin"/>
    </w:r>
    <w:r>
      <w:instrText>PAGE</w:instrText>
    </w:r>
    <w:r>
      <w:fldChar w:fldCharType="separate"/>
    </w:r>
    <w:r w:rsidR="00895CDA">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A41D3" w14:textId="77777777" w:rsidR="00895CDA" w:rsidRDefault="00895C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0D661" w14:textId="77777777" w:rsidR="008B1DF7" w:rsidRDefault="008B1DF7">
      <w:pPr>
        <w:spacing w:after="0" w:line="240" w:lineRule="auto"/>
      </w:pPr>
      <w:r>
        <w:separator/>
      </w:r>
    </w:p>
  </w:footnote>
  <w:footnote w:type="continuationSeparator" w:id="0">
    <w:p w14:paraId="6390FFA7" w14:textId="77777777" w:rsidR="008B1DF7" w:rsidRDefault="008B1D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20195" w14:textId="77777777" w:rsidR="00895CDA" w:rsidRDefault="00895C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AA586" w14:textId="77777777" w:rsidR="00895CDA" w:rsidRDefault="00895C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BF860" w14:textId="77777777" w:rsidR="00895CDA" w:rsidRDefault="00895C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4983843">
    <w:abstractNumId w:val="8"/>
  </w:num>
  <w:num w:numId="2" w16cid:durableId="1425300938">
    <w:abstractNumId w:val="6"/>
  </w:num>
  <w:num w:numId="3" w16cid:durableId="1391541398">
    <w:abstractNumId w:val="5"/>
  </w:num>
  <w:num w:numId="4" w16cid:durableId="1207451949">
    <w:abstractNumId w:val="4"/>
  </w:num>
  <w:num w:numId="5" w16cid:durableId="612443701">
    <w:abstractNumId w:val="7"/>
  </w:num>
  <w:num w:numId="6" w16cid:durableId="137773881">
    <w:abstractNumId w:val="3"/>
  </w:num>
  <w:num w:numId="7" w16cid:durableId="698553307">
    <w:abstractNumId w:val="2"/>
  </w:num>
  <w:num w:numId="8" w16cid:durableId="406268105">
    <w:abstractNumId w:val="1"/>
  </w:num>
  <w:num w:numId="9" w16cid:durableId="541210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markup="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3390"/>
    <w:rsid w:val="001B5470"/>
    <w:rsid w:val="0029639D"/>
    <w:rsid w:val="00326F90"/>
    <w:rsid w:val="00895CDA"/>
    <w:rsid w:val="008B1DF7"/>
    <w:rsid w:val="00AA111D"/>
    <w:rsid w:val="00AA1D8D"/>
    <w:rsid w:val="00B17817"/>
    <w:rsid w:val="00B47730"/>
    <w:rsid w:val="00C32BD5"/>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6846D"/>
  <w14:defaultImageDpi w14:val="300"/>
  <w15:docId w15:val="{BF06767E-1010-4FF4-ADC4-8C16B4C7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Times New Roman" w:hAnsi="Times New Roman"/>
      <w:color w:val="000000"/>
    </w:rPr>
  </w:style>
  <w:style w:type="paragraph" w:styleId="Heading1">
    <w:name w:val="heading 1"/>
    <w:basedOn w:val="Normal"/>
    <w:next w:val="Normal"/>
    <w:link w:val="Heading1Char"/>
    <w:uiPriority w:val="9"/>
    <w:qFormat/>
    <w:rsid w:val="00FC693F"/>
    <w:pPr>
      <w:keepNext/>
      <w:keepLines/>
      <w:spacing w:before="240" w:after="100"/>
      <w:outlineLvl w:val="0"/>
    </w:pPr>
    <w:rPr>
      <w:rFonts w:cstheme="majorBidi"/>
      <w:b/>
      <w:bCs/>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cstheme="majorBidi"/>
      <w:b/>
      <w:bCs/>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b/>
      <w:sz w:val="42"/>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sz w:val="21"/>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611</Words>
  <Characters>3631</Characters>
  <Application>Microsoft Office Word</Application>
  <DocSecurity>0</DocSecurity>
  <Lines>48</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and Interpretation Map</dc:title>
  <dc:subject>Companion to AI-Augmented Witness Inquiry</dc:subject>
  <dc:creator>Paul Moon</dc:creator>
  <cp:keywords/>
  <dc:description>generated by python-docx</dc:description>
  <cp:lastModifiedBy>Alpa Rpm</cp:lastModifiedBy>
  <cp:revision>3</cp:revision>
  <dcterms:created xsi:type="dcterms:W3CDTF">2013-12-23T23:15:00Z</dcterms:created>
  <dcterms:modified xsi:type="dcterms:W3CDTF">2026-09-30T17:32:00Z</dcterms:modified>
  <cp:category/>
</cp:coreProperties>
</file>