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D56B8" w14:textId="77777777" w:rsidR="00820555" w:rsidRDefault="0080226B">
      <w:pPr>
        <w:pStyle w:val="Title"/>
        <w:spacing w:after="160"/>
      </w:pPr>
      <w:r>
        <w:t>Reflection and Learning Journal</w:t>
      </w:r>
    </w:p>
    <w:p w14:paraId="5324B64C" w14:textId="77777777" w:rsidR="00820555" w:rsidRDefault="0080226B">
      <w:pPr>
        <w:pStyle w:val="Subtitle"/>
        <w:spacing w:after="240"/>
      </w:pPr>
      <w:r>
        <w:t>Editable working document  |  Companion to Appendix A</w:t>
      </w:r>
    </w:p>
    <w:p w14:paraId="42725933" w14:textId="77777777" w:rsidR="00820555" w:rsidRDefault="0080226B">
      <w:r>
        <w:t>Use this form with Appendix A. Replace the bracketed prompts with your own entries and expand the space as needed. Preserve earlier dated versions when a question or judgment changes. References to numbered sections refer to the book.</w:t>
      </w:r>
    </w:p>
    <w:p w14:paraId="37D4E054" w14:textId="77777777" w:rsidR="00820555" w:rsidRDefault="0080226B">
      <w:pPr>
        <w:keepNext/>
      </w:pPr>
      <w:r>
        <w:rPr>
          <w:b/>
        </w:rPr>
        <w:t>Entry identity.</w:t>
      </w:r>
      <w:r>
        <w:t xml:space="preserve"> Give the project and entry IDs, author, date, relevant question version and linked entry in the Inquiry Register. State whether the entry was made at the time or reconstructed later, and on what basis.</w:t>
      </w:r>
    </w:p>
    <w:p w14:paraId="7CAED872" w14:textId="77777777" w:rsidR="00820555" w:rsidRDefault="0080226B">
      <w:pPr>
        <w:spacing w:after="260"/>
      </w:pPr>
      <w:r>
        <w:rPr>
          <w:i/>
        </w:rPr>
        <w:t>[Enter identity, timing and links.]</w:t>
      </w:r>
    </w:p>
    <w:p w14:paraId="5AB276C3" w14:textId="77777777" w:rsidR="00820555" w:rsidRDefault="0080226B">
      <w:pPr>
        <w:keepNext/>
      </w:pPr>
      <w:r>
        <w:rPr>
          <w:b/>
        </w:rPr>
        <w:t>The assumption or judgment before review.</w:t>
      </w:r>
      <w:r>
        <w:t xml:space="preserve"> Preserve its exact wording and identify whose judgment it was. Explain the grounds then available and the decision it shaped. Write this reasoning before the relevant AI task when possible. Identify a later reconstruction as such; do not present it as a contemporary baseline.</w:t>
      </w:r>
    </w:p>
    <w:p w14:paraId="0B82FFAB" w14:textId="77777777" w:rsidR="00820555" w:rsidRDefault="0080226B">
      <w:pPr>
        <w:spacing w:after="260"/>
      </w:pPr>
      <w:r>
        <w:rPr>
          <w:i/>
        </w:rPr>
        <w:t>[Original wording; holder; earlier grounds; consequence.]</w:t>
      </w:r>
    </w:p>
    <w:p w14:paraId="3B96FB05" w14:textId="77777777" w:rsidR="00820555" w:rsidRDefault="0080226B">
      <w:pPr>
        <w:keepNext/>
      </w:pPr>
      <w:r>
        <w:rPr>
          <w:b/>
        </w:rPr>
        <w:t>The encounter that calls for attention.</w:t>
      </w:r>
      <w:r>
        <w:t xml:space="preserve"> Link the particular account, observation, disagreement or outcome and explain why it matters. Identify the AI proposal you examined through its Sources and AI Register entry, its grounds and your disposition of it. Preserve the separate contribution of a participant’s response, a source and your own reasoning. A changed judgment needs an explanation; surprise alone does not supply one.</w:t>
      </w:r>
    </w:p>
    <w:p w14:paraId="2A28B5A0" w14:textId="77777777" w:rsidR="00820555" w:rsidRDefault="0080226B">
      <w:pPr>
        <w:spacing w:after="260"/>
      </w:pPr>
      <w:r>
        <w:rPr>
          <w:i/>
        </w:rPr>
        <w:t>[Source locator; encounter; significance for the assumption.]</w:t>
      </w:r>
    </w:p>
    <w:p w14:paraId="76CC878D" w14:textId="77777777" w:rsidR="00820555" w:rsidRDefault="0080226B">
      <w:pPr>
        <w:keepNext/>
      </w:pPr>
      <w:r>
        <w:rPr>
          <w:b/>
        </w:rPr>
        <w:t>Alternatives examined.</w:t>
      </w:r>
      <w:r>
        <w:t xml:space="preserve"> Could the original judgment still be reasonable? What other explanation fits? What source or perspective would distinguish these possibilities? Do not manufacture dissonance to fill the form.</w:t>
      </w:r>
    </w:p>
    <w:p w14:paraId="1F79108E" w14:textId="77777777" w:rsidR="00820555" w:rsidRDefault="0080226B">
      <w:pPr>
        <w:spacing w:after="260"/>
      </w:pPr>
      <w:r>
        <w:rPr>
          <w:i/>
        </w:rPr>
        <w:t>[Alternative readings and their grounds.]</w:t>
      </w:r>
    </w:p>
    <w:p w14:paraId="027CD375" w14:textId="77777777" w:rsidR="00820555" w:rsidRDefault="0080226B">
      <w:pPr>
        <w:pStyle w:val="Heading2"/>
        <w:pageBreakBefore/>
      </w:pPr>
      <w:r>
        <w:lastRenderedPageBreak/>
        <w:t>Judgment and later learning</w:t>
      </w:r>
    </w:p>
    <w:p w14:paraId="09C8E801" w14:textId="77777777" w:rsidR="00820555" w:rsidRDefault="0080226B">
      <w:pPr>
        <w:keepNext/>
      </w:pPr>
      <w:r>
        <w:rPr>
          <w:b/>
        </w:rPr>
        <w:t>Judgment after review.</w:t>
      </w:r>
      <w:r>
        <w:t xml:space="preserve"> State whether the judgment is retained, qualified, replaced or still unresolved. Preserve the former wording. Identify what changed in your way of framing or judging the situation, as distinct from a change in activity alone.</w:t>
      </w:r>
    </w:p>
    <w:p w14:paraId="7B792031" w14:textId="77777777" w:rsidR="00820555" w:rsidRDefault="0080226B">
      <w:pPr>
        <w:spacing w:after="260"/>
      </w:pPr>
      <w:r>
        <w:rPr>
          <w:i/>
        </w:rPr>
        <w:t>[Current judgment; reason; link to evidence and relevant theological reasoning.]</w:t>
      </w:r>
    </w:p>
    <w:p w14:paraId="70D4E09D" w14:textId="77777777" w:rsidR="00820555" w:rsidRDefault="0080226B">
      <w:pPr>
        <w:keepNext/>
      </w:pPr>
      <w:r>
        <w:rPr>
          <w:b/>
        </w:rPr>
        <w:t>Consequence and later check.</w:t>
      </w:r>
      <w:r>
        <w:t xml:space="preserve"> What has changed in the way you seek understanding, and what conduct is actually recorded? Distinguish the revised question or plan from its enactment. Explain a proposed later occasion that could examine persistence or use in a different situation, including the differences that would matter. Add its result only when available.</w:t>
      </w:r>
    </w:p>
    <w:p w14:paraId="31B9DC73" w14:textId="77777777" w:rsidR="00820555" w:rsidRDefault="0080226B">
      <w:pPr>
        <w:spacing w:after="260"/>
      </w:pPr>
      <w:r>
        <w:rPr>
          <w:i/>
        </w:rPr>
        <w:t>[Action already taken; proposal; later check; result when available.]</w:t>
      </w:r>
    </w:p>
    <w:p w14:paraId="424AF388" w14:textId="77777777" w:rsidR="00820555" w:rsidRDefault="0080226B">
      <w:pPr>
        <w:keepNext/>
      </w:pPr>
      <w:r>
        <w:rPr>
          <w:b/>
        </w:rPr>
        <w:t>Limits and continuity.</w:t>
      </w:r>
      <w:r>
        <w:t xml:space="preserve"> State whose learning is claimed and what supports it. Distinguish improved work, explained reasoning, later conduct, and changes in group practice. For communal learning, identify how members’ contributions affected a shared judgment, retaining differences; a proposal alone does not establish changed practice. Explain what remains unknown and link the Ministry Experiment Journal and the Research Argument Map. These questions guide evidence gathering; they are not a validated assessment scale (Section 10.3).</w:t>
      </w:r>
    </w:p>
    <w:p w14:paraId="506D7462" w14:textId="77777777" w:rsidR="00820555" w:rsidRDefault="0080226B">
      <w:pPr>
        <w:spacing w:after="260"/>
      </w:pPr>
      <w:r>
        <w:rPr>
          <w:i/>
        </w:rPr>
        <w:t>[Bounded learning claim; unresolved matters; links.]</w:t>
      </w:r>
    </w:p>
    <w:sectPr w:rsidR="00820555"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45FE9" w14:textId="77777777" w:rsidR="00F353BB" w:rsidRDefault="00F353BB">
      <w:pPr>
        <w:spacing w:after="0" w:line="240" w:lineRule="auto"/>
      </w:pPr>
      <w:r>
        <w:separator/>
      </w:r>
    </w:p>
  </w:endnote>
  <w:endnote w:type="continuationSeparator" w:id="0">
    <w:p w14:paraId="00757E83" w14:textId="77777777" w:rsidR="00F353BB" w:rsidRDefault="00F35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0D22" w14:textId="77777777" w:rsidR="004732A6" w:rsidRDefault="004732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9B6E" w14:textId="77777777" w:rsidR="00820555" w:rsidRDefault="0080226B">
    <w:pPr>
      <w:pStyle w:val="Footer"/>
    </w:pPr>
    <w:r>
      <w:rPr>
        <w:sz w:val="18"/>
      </w:rPr>
      <w:t xml:space="preserve">AWI Reader Companion  •  Edition 1  |  </w:t>
    </w:r>
    <w:r>
      <w:fldChar w:fldCharType="begin"/>
    </w:r>
    <w:r>
      <w:instrText>PAGE</w:instrText>
    </w:r>
    <w:r>
      <w:fldChar w:fldCharType="separate"/>
    </w:r>
    <w:r w:rsidR="004732A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CAE49" w14:textId="77777777" w:rsidR="004732A6" w:rsidRDefault="00473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02692" w14:textId="77777777" w:rsidR="00F353BB" w:rsidRDefault="00F353BB">
      <w:pPr>
        <w:spacing w:after="0" w:line="240" w:lineRule="auto"/>
      </w:pPr>
      <w:r>
        <w:separator/>
      </w:r>
    </w:p>
  </w:footnote>
  <w:footnote w:type="continuationSeparator" w:id="0">
    <w:p w14:paraId="283684BD" w14:textId="77777777" w:rsidR="00F353BB" w:rsidRDefault="00F35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DDAC" w14:textId="77777777" w:rsidR="004732A6" w:rsidRDefault="004732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F447" w14:textId="77777777" w:rsidR="004732A6" w:rsidRDefault="004732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ABC92" w14:textId="77777777" w:rsidR="004732A6" w:rsidRDefault="004732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0071969">
    <w:abstractNumId w:val="8"/>
  </w:num>
  <w:num w:numId="2" w16cid:durableId="1234848629">
    <w:abstractNumId w:val="6"/>
  </w:num>
  <w:num w:numId="3" w16cid:durableId="1760176658">
    <w:abstractNumId w:val="5"/>
  </w:num>
  <w:num w:numId="4" w16cid:durableId="1873761250">
    <w:abstractNumId w:val="4"/>
  </w:num>
  <w:num w:numId="5" w16cid:durableId="334109835">
    <w:abstractNumId w:val="7"/>
  </w:num>
  <w:num w:numId="6" w16cid:durableId="1923251150">
    <w:abstractNumId w:val="3"/>
  </w:num>
  <w:num w:numId="7" w16cid:durableId="1092360421">
    <w:abstractNumId w:val="2"/>
  </w:num>
  <w:num w:numId="8" w16cid:durableId="1110589623">
    <w:abstractNumId w:val="1"/>
  </w:num>
  <w:num w:numId="9" w16cid:durableId="770860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3D7F"/>
    <w:rsid w:val="0015074B"/>
    <w:rsid w:val="00193390"/>
    <w:rsid w:val="001B5470"/>
    <w:rsid w:val="0029639D"/>
    <w:rsid w:val="00326F90"/>
    <w:rsid w:val="004732A6"/>
    <w:rsid w:val="0080226B"/>
    <w:rsid w:val="00820555"/>
    <w:rsid w:val="00AA1D8D"/>
    <w:rsid w:val="00B47730"/>
    <w:rsid w:val="00CB0664"/>
    <w:rsid w:val="00F353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9F540D"/>
  <w14:defaultImageDpi w14:val="300"/>
  <w15:docId w15:val="{BF06767E-1010-4FF4-ADC4-8C16B4C7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b/>
      <w:sz w:val="42"/>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sz w:val="21"/>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2630</Characters>
  <Application>Microsoft Office Word</Application>
  <DocSecurity>0</DocSecurity>
  <Lines>35</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and Learning Journal</dc:title>
  <dc:subject>Companion to AI-Augmented Witness Inquiry</dc:subject>
  <dc:creator>Paul Moon</dc:creator>
  <cp:keywords/>
  <dc:description>generated by python-docx</dc:description>
  <cp:lastModifiedBy>Alpa Rpm</cp:lastModifiedBy>
  <cp:revision>3</cp:revision>
  <dcterms:created xsi:type="dcterms:W3CDTF">2013-12-23T23:15:00Z</dcterms:created>
  <dcterms:modified xsi:type="dcterms:W3CDTF">2026-09-30T17:32:00Z</dcterms:modified>
  <cp:category/>
</cp:coreProperties>
</file>