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AF018" w14:textId="77777777" w:rsidR="000B74F4" w:rsidRDefault="00396EA9">
      <w:pPr>
        <w:pStyle w:val="Title"/>
        <w:spacing w:after="160"/>
      </w:pPr>
      <w:r>
        <w:t>Research Argument Map</w:t>
      </w:r>
    </w:p>
    <w:p w14:paraId="2FF97228" w14:textId="77777777" w:rsidR="000B74F4" w:rsidRDefault="00396EA9">
      <w:pPr>
        <w:pStyle w:val="Subtitle"/>
        <w:spacing w:after="240"/>
      </w:pPr>
      <w:r>
        <w:t>Editable working document  |  Companion to Appendix A</w:t>
      </w:r>
    </w:p>
    <w:p w14:paraId="0F9D2D2C" w14:textId="77777777" w:rsidR="000B74F4" w:rsidRDefault="00396EA9">
      <w:r>
        <w:t>Use this form with Appendix A. Replace the bracketed prompts with your own entries and expand the space as needed. Preserve earlier dated versions when a question or judgment changes. References to numbered sections refer to the book.</w:t>
      </w:r>
    </w:p>
    <w:p w14:paraId="1BDA9849" w14:textId="77777777" w:rsidR="000B74F4" w:rsidRDefault="00396EA9">
      <w:pPr>
        <w:keepNext/>
      </w:pPr>
      <w:r>
        <w:rPr>
          <w:b/>
        </w:rPr>
        <w:t>Requirements and audience.</w:t>
      </w:r>
      <w:r>
        <w:t xml:space="preserve"> Give the project, record version and date. Identify the actual handbook or guidance, its version and relevant sections; the intended examiner and public audiences; and the person who can resolve uncertainties. Appendix D supplies a fuller writing worksheet.</w:t>
      </w:r>
    </w:p>
    <w:p w14:paraId="2C10F98E" w14:textId="77777777" w:rsidR="000B74F4" w:rsidRDefault="00396EA9">
      <w:pPr>
        <w:spacing w:after="260"/>
      </w:pPr>
      <w:r>
        <w:rPr>
          <w:i/>
        </w:rPr>
        <w:t>[Requirements sources; audiences; unresolved questions and responsible person.]</w:t>
      </w:r>
    </w:p>
    <w:p w14:paraId="2242944B" w14:textId="77777777" w:rsidR="000B74F4" w:rsidRDefault="00396EA9">
      <w:pPr>
        <w:keepNext/>
      </w:pPr>
      <w:r>
        <w:rPr>
          <w:b/>
        </w:rPr>
        <w:t>Argument map entry.</w:t>
      </w:r>
      <w:r>
        <w:t xml:space="preserve"> Repeat for each major claim or report function. State the question and its version in the Inquiry Register, the exact claim and version in the Evidence and Interpretation Map, the report section or page, and links to supporting material in the other research documents. For methodological claims, link the approach in the Inquiry Register and consequential AI tasks in the Sources and AI Register so that a reader can examine their fit. When reporting action or learning, carry the Ministry Experiment Journal’s distinction between a proposal, an action undertaken, and an evaluated result. Check that the abstract, synopsis, findings and conclusion use the same scope and degree of certainty.</w:t>
      </w:r>
    </w:p>
    <w:p w14:paraId="6F3FB8F4" w14:textId="77777777" w:rsidR="000B74F4" w:rsidRDefault="00396EA9">
      <w:pPr>
        <w:spacing w:after="260"/>
      </w:pPr>
      <w:r>
        <w:rPr>
          <w:i/>
        </w:rPr>
        <w:t>[Question and claim versions; report location; source links; method fit; action status where relevant; consistency check.]</w:t>
      </w:r>
    </w:p>
    <w:p w14:paraId="7AA75792" w14:textId="77777777" w:rsidR="000B74F4" w:rsidRDefault="00396EA9">
      <w:pPr>
        <w:keepNext/>
      </w:pPr>
      <w:r>
        <w:rPr>
          <w:b/>
        </w:rPr>
        <w:t>Review entry.</w:t>
      </w:r>
      <w:r>
        <w:t xml:space="preserve"> Name what was examined, by whom, when, against which criteria, and with what access. Record the response and any resulting change. Distinguish the candidate’s review, supervision, participant engagement and an independent audit. A methodologically informed reviewer can still have a relationship that needs disclosure.</w:t>
      </w:r>
    </w:p>
    <w:p w14:paraId="00D76611" w14:textId="77777777" w:rsidR="000B74F4" w:rsidRDefault="00396EA9">
      <w:pPr>
        <w:spacing w:after="260"/>
      </w:pPr>
      <w:r>
        <w:rPr>
          <w:i/>
        </w:rPr>
        <w:t>[Review purpose; reviewer relationship; material available; findings; response.]</w:t>
      </w:r>
    </w:p>
    <w:p w14:paraId="62734E8D" w14:textId="77777777" w:rsidR="000B74F4" w:rsidRDefault="00396EA9">
      <w:pPr>
        <w:keepNext/>
      </w:pPr>
      <w:r>
        <w:rPr>
          <w:b/>
        </w:rPr>
        <w:t>Access and reporting decision.</w:t>
      </w:r>
      <w:r>
        <w:t xml:space="preserve"> For each sensitive item, identify the use permitted in the Sources and AI Register, what this audience may see, the authorized location, what is withheld or summarized, and the consequence for assessment. If essential grounds cannot be assessed through an acceptable arrangement, narrow or omit the claim, or resolve the arrangement before submission.</w:t>
      </w:r>
    </w:p>
    <w:p w14:paraId="7C994FC9" w14:textId="77777777" w:rsidR="000B74F4" w:rsidRDefault="00396EA9">
      <w:pPr>
        <w:spacing w:after="260"/>
      </w:pPr>
      <w:r>
        <w:rPr>
          <w:i/>
        </w:rPr>
        <w:t>[Item; audience; permission; access route; restriction; effect on claim.]</w:t>
      </w:r>
    </w:p>
    <w:p w14:paraId="2096D226" w14:textId="77777777" w:rsidR="000B74F4" w:rsidRDefault="00396EA9">
      <w:pPr>
        <w:pStyle w:val="Heading2"/>
        <w:pageBreakBefore/>
      </w:pPr>
      <w:r>
        <w:lastRenderedPageBreak/>
        <w:t>Contribution and examination</w:t>
      </w:r>
    </w:p>
    <w:p w14:paraId="5508C6A8" w14:textId="77777777" w:rsidR="000B74F4" w:rsidRDefault="00396EA9">
      <w:pPr>
        <w:keepNext/>
      </w:pPr>
      <w:r>
        <w:rPr>
          <w:b/>
        </w:rPr>
        <w:t>Contribution and limits.</w:t>
      </w:r>
      <w:r>
        <w:t xml:space="preserve"> Connect the findings to the literature and theological argument. State the contribution warranted here, alternative explanations, limits of transfer, and work still needed. A proposal is not an observed outcome.</w:t>
      </w:r>
    </w:p>
    <w:p w14:paraId="4CBA067A" w14:textId="77777777" w:rsidR="000B74F4" w:rsidRDefault="00396EA9">
      <w:pPr>
        <w:spacing w:after="260"/>
      </w:pPr>
      <w:r>
        <w:rPr>
          <w:i/>
        </w:rPr>
        <w:t>[Contribution; scholarly relationship; limits; further work.]</w:t>
      </w:r>
    </w:p>
    <w:p w14:paraId="1797624B" w14:textId="77777777" w:rsidR="000B74F4" w:rsidRDefault="00396EA9">
      <w:pPr>
        <w:keepNext/>
      </w:pPr>
      <w:r>
        <w:rPr>
          <w:b/>
        </w:rPr>
        <w:t>Examination preparation.</w:t>
      </w:r>
      <w:r>
        <w:t xml:space="preserve"> Record a difficult question, a concise answer, its source locators, and what would make you qualify the answer. Practise explaining how an unwelcome finding changed the report as carefully as a favorable one.</w:t>
      </w:r>
    </w:p>
    <w:p w14:paraId="25A2A745" w14:textId="77777777" w:rsidR="000B74F4" w:rsidRDefault="00396EA9">
      <w:pPr>
        <w:spacing w:after="260"/>
      </w:pPr>
      <w:r>
        <w:rPr>
          <w:i/>
        </w:rPr>
        <w:t>[Question; answer; grounds; concession or unresolved point.]</w:t>
      </w:r>
    </w:p>
    <w:p w14:paraId="6BF7DB9A" w14:textId="77777777" w:rsidR="000B74F4" w:rsidRDefault="00396EA9">
      <w:pPr>
        <w:keepNext/>
      </w:pPr>
      <w:r>
        <w:rPr>
          <w:b/>
        </w:rPr>
        <w:t>Final continuity check.</w:t>
      </w:r>
      <w:r>
        <w:t xml:space="preserve"> Check identifiers, dates, question versions, claim wording, quotations, references, AI disclosures, permissions, and report destinations. Record what remains unresolved and its consequence. State who completed the check and when.</w:t>
      </w:r>
    </w:p>
    <w:p w14:paraId="1EB0A579" w14:textId="77777777" w:rsidR="000B74F4" w:rsidRDefault="00396EA9">
      <w:pPr>
        <w:spacing w:after="260"/>
      </w:pPr>
      <w:r>
        <w:rPr>
          <w:i/>
        </w:rPr>
        <w:t>[Checks completed; unresolved items; disposition; reviewer and date.]</w:t>
      </w:r>
    </w:p>
    <w:sectPr w:rsidR="000B74F4" w:rsidSect="00034616">
      <w:headerReference w:type="even" r:id="rId8"/>
      <w:headerReference w:type="default" r:id="rId9"/>
      <w:footerReference w:type="even" r:id="rId10"/>
      <w:footerReference w:type="default" r:id="rId11"/>
      <w:headerReference w:type="first" r:id="rId12"/>
      <w:footerReference w:type="first" r:id="rId13"/>
      <w:pgSz w:w="12240" w:h="15840"/>
      <w:pgMar w:top="1008" w:right="1080"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DCD21" w14:textId="77777777" w:rsidR="003F27C6" w:rsidRDefault="003F27C6">
      <w:pPr>
        <w:spacing w:after="0" w:line="240" w:lineRule="auto"/>
      </w:pPr>
      <w:r>
        <w:separator/>
      </w:r>
    </w:p>
  </w:endnote>
  <w:endnote w:type="continuationSeparator" w:id="0">
    <w:p w14:paraId="60882977" w14:textId="77777777" w:rsidR="003F27C6" w:rsidRDefault="003F27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033D4" w14:textId="77777777" w:rsidR="003B2539" w:rsidRDefault="003B25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CCEC" w14:textId="77777777" w:rsidR="000B74F4" w:rsidRDefault="00396EA9">
    <w:pPr>
      <w:pStyle w:val="Footer"/>
    </w:pPr>
    <w:r>
      <w:rPr>
        <w:sz w:val="18"/>
      </w:rPr>
      <w:t xml:space="preserve">AWI Reader Companion  •  Edition 1  |  </w:t>
    </w:r>
    <w:r>
      <w:fldChar w:fldCharType="begin"/>
    </w:r>
    <w:r>
      <w:instrText>PAGE</w:instrText>
    </w:r>
    <w:r>
      <w:fldChar w:fldCharType="separate"/>
    </w:r>
    <w:r w:rsidR="003B2539">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3F07B" w14:textId="77777777" w:rsidR="003B2539" w:rsidRDefault="003B25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12927" w14:textId="77777777" w:rsidR="003F27C6" w:rsidRDefault="003F27C6">
      <w:pPr>
        <w:spacing w:after="0" w:line="240" w:lineRule="auto"/>
      </w:pPr>
      <w:r>
        <w:separator/>
      </w:r>
    </w:p>
  </w:footnote>
  <w:footnote w:type="continuationSeparator" w:id="0">
    <w:p w14:paraId="4DDE6D63" w14:textId="77777777" w:rsidR="003F27C6" w:rsidRDefault="003F27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E92B0" w14:textId="77777777" w:rsidR="003B2539" w:rsidRDefault="003B25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286DD" w14:textId="77777777" w:rsidR="003B2539" w:rsidRDefault="003B25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A6AB3" w14:textId="77777777" w:rsidR="003B2539" w:rsidRDefault="003B25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63590878">
    <w:abstractNumId w:val="8"/>
  </w:num>
  <w:num w:numId="2" w16cid:durableId="1997756380">
    <w:abstractNumId w:val="6"/>
  </w:num>
  <w:num w:numId="3" w16cid:durableId="2142842290">
    <w:abstractNumId w:val="5"/>
  </w:num>
  <w:num w:numId="4" w16cid:durableId="1048840173">
    <w:abstractNumId w:val="4"/>
  </w:num>
  <w:num w:numId="5" w16cid:durableId="875656489">
    <w:abstractNumId w:val="7"/>
  </w:num>
  <w:num w:numId="6" w16cid:durableId="1434324527">
    <w:abstractNumId w:val="3"/>
  </w:num>
  <w:num w:numId="7" w16cid:durableId="1115295580">
    <w:abstractNumId w:val="2"/>
  </w:num>
  <w:num w:numId="8" w16cid:durableId="1379820685">
    <w:abstractNumId w:val="1"/>
  </w:num>
  <w:num w:numId="9" w16cid:durableId="13243533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markup="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74F4"/>
    <w:rsid w:val="0015074B"/>
    <w:rsid w:val="00193390"/>
    <w:rsid w:val="001B5470"/>
    <w:rsid w:val="0029639D"/>
    <w:rsid w:val="00326F90"/>
    <w:rsid w:val="00396EA9"/>
    <w:rsid w:val="003B2539"/>
    <w:rsid w:val="003F27C6"/>
    <w:rsid w:val="00AA1D8D"/>
    <w:rsid w:val="00B47730"/>
    <w:rsid w:val="00CB0664"/>
    <w:rsid w:val="00EA2E5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ED132D"/>
  <w14:defaultImageDpi w14:val="300"/>
  <w15:docId w15:val="{BF06767E-1010-4FF4-ADC4-8C16B4C72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4" w:lineRule="auto"/>
    </w:pPr>
    <w:rPr>
      <w:rFonts w:ascii="Times New Roman" w:hAnsi="Times New Roman"/>
      <w:color w:val="000000"/>
    </w:rPr>
  </w:style>
  <w:style w:type="paragraph" w:styleId="Heading1">
    <w:name w:val="heading 1"/>
    <w:basedOn w:val="Normal"/>
    <w:next w:val="Normal"/>
    <w:link w:val="Heading1Char"/>
    <w:uiPriority w:val="9"/>
    <w:qFormat/>
    <w:rsid w:val="00FC693F"/>
    <w:pPr>
      <w:keepNext/>
      <w:keepLines/>
      <w:spacing w:before="240" w:after="100"/>
      <w:outlineLvl w:val="0"/>
    </w:pPr>
    <w:rPr>
      <w:rFonts w:cstheme="majorBidi"/>
      <w:b/>
      <w:bCs/>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cstheme="majorBidi"/>
      <w:b/>
      <w:bCs/>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cstheme="majorBidi"/>
      <w:b/>
      <w:sz w:val="42"/>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sz w:val="21"/>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486</Words>
  <Characters>2845</Characters>
  <Application>Microsoft Office Word</Application>
  <DocSecurity>0</DocSecurity>
  <Lines>40</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Argument Map</dc:title>
  <dc:subject>Companion to AI-Augmented Witness Inquiry</dc:subject>
  <dc:creator>Paul Moon</dc:creator>
  <cp:keywords/>
  <dc:description>generated by python-docx</dc:description>
  <cp:lastModifiedBy>Alpa Rpm</cp:lastModifiedBy>
  <cp:revision>3</cp:revision>
  <dcterms:created xsi:type="dcterms:W3CDTF">2013-12-23T23:15:00Z</dcterms:created>
  <dcterms:modified xsi:type="dcterms:W3CDTF">2026-09-30T17:32:00Z</dcterms:modified>
  <cp:category/>
</cp:coreProperties>
</file>