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8718C" w14:textId="77777777" w:rsidR="00C4071F" w:rsidRDefault="008D1BFF">
      <w:pPr>
        <w:pStyle w:val="Title"/>
        <w:spacing w:after="160"/>
      </w:pPr>
      <w:r>
        <w:t>Sources and AI Register</w:t>
      </w:r>
    </w:p>
    <w:p w14:paraId="0C08EEE4" w14:textId="77777777" w:rsidR="00C4071F" w:rsidRDefault="008D1BFF">
      <w:pPr>
        <w:pStyle w:val="Subtitle"/>
        <w:spacing w:after="240"/>
      </w:pPr>
      <w:r>
        <w:t>Editable working document  |  Companion to Appendix A</w:t>
      </w:r>
    </w:p>
    <w:p w14:paraId="4DC14B03" w14:textId="77777777" w:rsidR="00C4071F" w:rsidRDefault="008D1BFF">
      <w:r>
        <w:t>Use this form with Appendix A. Replace the bracketed prompts with your own entries and expand the space as needed. Preserve earlier dated versions when a question or judgment changes. References to numbered sections refer to the book.</w:t>
      </w:r>
    </w:p>
    <w:p w14:paraId="0B67960C" w14:textId="77777777" w:rsidR="00C4071F" w:rsidRDefault="008D1BFF">
      <w:pPr>
        <w:keepNext/>
      </w:pPr>
      <w:r>
        <w:rPr>
          <w:b/>
        </w:rPr>
        <w:t>Identity and responsibility.</w:t>
      </w:r>
      <w:r>
        <w:t xml:space="preserve"> Give the project identifier, version, date, data custodian and protected location. Keep any identity key separately under the agreed arrangements.</w:t>
      </w:r>
    </w:p>
    <w:p w14:paraId="1FF409AD" w14:textId="77777777" w:rsidR="00C4071F" w:rsidRDefault="008D1BFF">
      <w:pPr>
        <w:spacing w:after="260"/>
      </w:pPr>
      <w:r>
        <w:rPr>
          <w:i/>
        </w:rPr>
        <w:t>[Enter identity and responsibility.]</w:t>
      </w:r>
    </w:p>
    <w:p w14:paraId="7023F7FA" w14:textId="77777777" w:rsidR="00C4071F" w:rsidRDefault="008D1BFF">
      <w:pPr>
        <w:keepNext/>
      </w:pPr>
      <w:r>
        <w:rPr>
          <w:b/>
        </w:rPr>
        <w:t>Source inventory entry.</w:t>
      </w:r>
      <w:r>
        <w:t xml:space="preserve"> Repeat for each item. Give the stable source ID, source type, creator or participant code, date and circumstances, protected location, version, and usable locator. Distinguish a recording, checked transcript, contemporaneous note, later recollection and supplied document. Link the relevant permission entry in this register.</w:t>
      </w:r>
    </w:p>
    <w:p w14:paraId="2EED32A0" w14:textId="77777777" w:rsidR="00C4071F" w:rsidRDefault="008D1BFF">
      <w:pPr>
        <w:spacing w:after="260"/>
      </w:pPr>
      <w:r>
        <w:rPr>
          <w:i/>
        </w:rPr>
        <w:t>[Source ID; kind; circumstances; version; locator; permission entry link.]</w:t>
      </w:r>
    </w:p>
    <w:p w14:paraId="5CBBE0E4" w14:textId="77777777" w:rsidR="00C4071F" w:rsidRDefault="008D1BFF">
      <w:pPr>
        <w:keepNext/>
      </w:pPr>
      <w:r>
        <w:rPr>
          <w:b/>
        </w:rPr>
        <w:t>Preparation entry.</w:t>
      </w:r>
      <w:r>
        <w:t xml:space="preserve"> Explain transcription, correction, redaction or selection that affects interpretation. Preserve the source version. State who checked uncertain wording and what remains uncertain. A paraphrase stays a paraphrase when moved into a working table. When a source changes, follow the correction chain described in Section 10.5.</w:t>
      </w:r>
    </w:p>
    <w:p w14:paraId="2EAF7095" w14:textId="77777777" w:rsidR="00C4071F" w:rsidRDefault="008D1BFF">
      <w:pPr>
        <w:spacing w:after="260"/>
      </w:pPr>
      <w:r>
        <w:rPr>
          <w:i/>
        </w:rPr>
        <w:t>[Preparation; correction grounds and checker; source version; affected claims and record links; rechecks; unresolved issues.]</w:t>
      </w:r>
    </w:p>
    <w:p w14:paraId="1B7ED13C" w14:textId="77777777" w:rsidR="00C4071F" w:rsidRDefault="008D1BFF">
      <w:pPr>
        <w:keepNext/>
      </w:pPr>
      <w:r>
        <w:rPr>
          <w:b/>
        </w:rPr>
        <w:t>Permission and access entry.</w:t>
      </w:r>
      <w:r>
        <w:t xml:space="preserve"> Repeat this entry for each source or group of sources with the same actual terms. Identify the source IDs, what collection was agreed, how agreement was recorded, withdrawal or correction arrangements, and the uses allowed. Distinguish research use, shared discussion, quotation, examiner access, public reporting and external processing. Record a restriction as precisely as the permission.</w:t>
      </w:r>
    </w:p>
    <w:p w14:paraId="6B2D9AC0" w14:textId="77777777" w:rsidR="00C4071F" w:rsidRDefault="008D1BFF">
      <w:pPr>
        <w:spacing w:after="260"/>
      </w:pPr>
      <w:r>
        <w:rPr>
          <w:i/>
        </w:rPr>
        <w:t>[Source IDs; agreement evidence and date; permitted uses; restrictions; unresolved uses.]</w:t>
      </w:r>
    </w:p>
    <w:p w14:paraId="4F969B2E" w14:textId="77777777" w:rsidR="00C4071F" w:rsidRDefault="008D1BFF">
      <w:pPr>
        <w:keepNext/>
      </w:pPr>
      <w:r>
        <w:rPr>
          <w:b/>
        </w:rPr>
        <w:t>Storage and lifecycle entry.</w:t>
      </w:r>
      <w:r>
        <w:t xml:space="preserve"> Name the protected original, working copies, permitted users, transfer arrangements, retention and deletion decisions, and the applicable institutional guidance. Record how changes or incidents will be handled. Do not infer permission from the fact that a file is accessible.</w:t>
      </w:r>
    </w:p>
    <w:p w14:paraId="5FCC0F0C" w14:textId="77777777" w:rsidR="00C4071F" w:rsidRDefault="008D1BFF">
      <w:pPr>
        <w:spacing w:after="260"/>
      </w:pPr>
      <w:r>
        <w:rPr>
          <w:i/>
        </w:rPr>
        <w:t>[Locations; responsible people; access; retention; review and disposal arrangements.]</w:t>
      </w:r>
    </w:p>
    <w:p w14:paraId="326A294F" w14:textId="77777777" w:rsidR="00C4071F" w:rsidRDefault="008D1BFF">
      <w:pPr>
        <w:pStyle w:val="Heading2"/>
        <w:pageBreakBefore/>
      </w:pPr>
      <w:r>
        <w:lastRenderedPageBreak/>
        <w:t>AI tasks and their examination</w:t>
      </w:r>
    </w:p>
    <w:p w14:paraId="2DBF8F65" w14:textId="77777777" w:rsidR="00C4071F" w:rsidRDefault="008D1BFF">
      <w:pPr>
        <w:keepNext/>
      </w:pPr>
      <w:r>
        <w:rPr>
          <w:b/>
        </w:rPr>
        <w:t>AI task entry.</w:t>
      </w:r>
      <w:r>
        <w:t xml:space="preserve"> Repeat for each consequential use. Give the task ID and date, intellectual purpose, tool and model/version as available, relevant settings, and environment used. Link the rationale in the Inquiry Register and identify the material supplied, input version, actual prompt and output locations. State whether the task develops a question, organizes material, proposes interpretations, examines an action plan, develops theological reasoning or constructs an argument. Explain how it fits the approach and why this use of the material is permitted. Preserve context already available to the model and any selection among responses. Record unavailable details as unavailable.</w:t>
      </w:r>
    </w:p>
    <w:p w14:paraId="28ECEB69" w14:textId="77777777" w:rsidR="00C4071F" w:rsidRDefault="008D1BFF">
      <w:pPr>
        <w:spacing w:after="260"/>
      </w:pPr>
      <w:r>
        <w:rPr>
          <w:i/>
        </w:rPr>
        <w:t>[Task ID and date; intellectual purpose; Inquiry Register rationale; task fit; tool details; permitted input; existing context; exact prompt and output; response selection if any.]</w:t>
      </w:r>
    </w:p>
    <w:p w14:paraId="240FED31" w14:textId="77777777" w:rsidR="00C4071F" w:rsidRDefault="008D1BFF">
      <w:pPr>
        <w:keepNext/>
      </w:pPr>
      <w:r>
        <w:rPr>
          <w:b/>
        </w:rPr>
        <w:t>Examination and disposition.</w:t>
      </w:r>
      <w:r>
        <w:t xml:space="preserve"> Identify who compared the response with which sources and input version. Record what it developed, omitted or distorted; what you retained, qualified or rejected; and the reasons. Trace its effect on a question, interpretation, action, theological argument or report. For a small collection, compare all relevant supplied accounts. Where a source cannot be processed, record how the task was redesigned around permitted material. Link the candidate’s own reasoning in the Reflection and Learning Journal when a learning claim is pursued (Sections 5.5 and 10.4).</w:t>
      </w:r>
    </w:p>
    <w:p w14:paraId="120B46AC" w14:textId="77777777" w:rsidR="00C4071F" w:rsidRDefault="008D1BFF">
      <w:pPr>
        <w:spacing w:after="260"/>
      </w:pPr>
      <w:r>
        <w:rPr>
          <w:i/>
        </w:rPr>
        <w:t>[Examiner and date; sources and input version; intellectual contribution; examination and limits; disposition and reasons; downstream locations; Reflection and Learning Journal link where relevant.]</w:t>
      </w:r>
    </w:p>
    <w:p w14:paraId="55A2EE1A" w14:textId="77777777" w:rsidR="00C4071F" w:rsidRDefault="008D1BFF">
      <w:pPr>
        <w:keepNext/>
      </w:pPr>
      <w:r>
        <w:rPr>
          <w:b/>
        </w:rPr>
        <w:t>Reporting entry.</w:t>
      </w:r>
      <w:r>
        <w:t xml:space="preserve"> Draft a disclosure sufficient for a reader to understand the actual assistance and responsibility. Link fuller details where appropriate and permitted. Do not reproduce protected prompts publicly merely to demonstrate transparency. Jones’s disclosure heuristic informs the questions to ask, but this compact register is an AWI adaptation, not a claim to reproduce or validate that entire heuristic (Jones 2025).</w:t>
      </w:r>
    </w:p>
    <w:p w14:paraId="66954F6F" w14:textId="77777777" w:rsidR="00C4071F" w:rsidRDefault="008D1BFF">
      <w:pPr>
        <w:spacing w:after="260"/>
      </w:pPr>
      <w:r>
        <w:rPr>
          <w:i/>
        </w:rPr>
        <w:t>[Disclosure; intended audience; supporting details available; limits on access.]</w:t>
      </w:r>
    </w:p>
    <w:sectPr w:rsidR="00C4071F"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B969F" w14:textId="77777777" w:rsidR="003E7BAC" w:rsidRDefault="003E7BAC">
      <w:pPr>
        <w:spacing w:after="0" w:line="240" w:lineRule="auto"/>
      </w:pPr>
      <w:r>
        <w:separator/>
      </w:r>
    </w:p>
  </w:endnote>
  <w:endnote w:type="continuationSeparator" w:id="0">
    <w:p w14:paraId="41244FBD" w14:textId="77777777" w:rsidR="003E7BAC" w:rsidRDefault="003E7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7CD8C" w14:textId="77777777" w:rsidR="00550E15" w:rsidRDefault="00550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C7FF" w14:textId="77777777" w:rsidR="00C4071F" w:rsidRDefault="008D1BFF">
    <w:pPr>
      <w:pStyle w:val="Footer"/>
    </w:pPr>
    <w:r>
      <w:rPr>
        <w:sz w:val="18"/>
      </w:rPr>
      <w:t xml:space="preserve">AWI Reader Companion  •  Edition 1  |  </w:t>
    </w:r>
    <w:r>
      <w:fldChar w:fldCharType="begin"/>
    </w:r>
    <w:r>
      <w:instrText>PAGE</w:instrText>
    </w:r>
    <w:r>
      <w:fldChar w:fldCharType="separate"/>
    </w:r>
    <w:r w:rsidR="00550E1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C7CA" w14:textId="77777777" w:rsidR="00550E15" w:rsidRDefault="00550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F1D4" w14:textId="77777777" w:rsidR="003E7BAC" w:rsidRDefault="003E7BAC">
      <w:pPr>
        <w:spacing w:after="0" w:line="240" w:lineRule="auto"/>
      </w:pPr>
      <w:r>
        <w:separator/>
      </w:r>
    </w:p>
  </w:footnote>
  <w:footnote w:type="continuationSeparator" w:id="0">
    <w:p w14:paraId="7CCD51BF" w14:textId="77777777" w:rsidR="003E7BAC" w:rsidRDefault="003E7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49156" w14:textId="77777777" w:rsidR="00550E15" w:rsidRDefault="00550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0016" w14:textId="77777777" w:rsidR="00550E15" w:rsidRDefault="00550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8D5B" w14:textId="77777777" w:rsidR="00550E15" w:rsidRDefault="00550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0874640">
    <w:abstractNumId w:val="8"/>
  </w:num>
  <w:num w:numId="2" w16cid:durableId="349334221">
    <w:abstractNumId w:val="6"/>
  </w:num>
  <w:num w:numId="3" w16cid:durableId="1467821492">
    <w:abstractNumId w:val="5"/>
  </w:num>
  <w:num w:numId="4" w16cid:durableId="444809462">
    <w:abstractNumId w:val="4"/>
  </w:num>
  <w:num w:numId="5" w16cid:durableId="570114539">
    <w:abstractNumId w:val="7"/>
  </w:num>
  <w:num w:numId="6" w16cid:durableId="465392908">
    <w:abstractNumId w:val="3"/>
  </w:num>
  <w:num w:numId="7" w16cid:durableId="418721721">
    <w:abstractNumId w:val="2"/>
  </w:num>
  <w:num w:numId="8" w16cid:durableId="1836261373">
    <w:abstractNumId w:val="1"/>
  </w:num>
  <w:num w:numId="9" w16cid:durableId="1505974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390"/>
    <w:rsid w:val="001B5470"/>
    <w:rsid w:val="0027320F"/>
    <w:rsid w:val="0029639D"/>
    <w:rsid w:val="00326F90"/>
    <w:rsid w:val="003E7BAC"/>
    <w:rsid w:val="00550E15"/>
    <w:rsid w:val="008D1BFF"/>
    <w:rsid w:val="00AA1D8D"/>
    <w:rsid w:val="00B47730"/>
    <w:rsid w:val="00C4071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264B6C"/>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3881</Characters>
  <Application>Microsoft Office Word</Application>
  <DocSecurity>0</DocSecurity>
  <Lines>56</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and AI Register</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